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01E517F0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E53F3C">
        <w:rPr>
          <w:b/>
          <w:bCs/>
          <w:sz w:val="36"/>
          <w:szCs w:val="36"/>
        </w:rPr>
        <w:t>5</w:t>
      </w:r>
      <w:r w:rsidR="00E53F3C" w:rsidRPr="00E53F3C">
        <w:rPr>
          <w:b/>
          <w:bCs/>
          <w:sz w:val="36"/>
          <w:szCs w:val="36"/>
          <w:vertAlign w:val="superscript"/>
        </w:rPr>
        <w:t>th</w:t>
      </w:r>
      <w:r w:rsidR="00E53F3C">
        <w:rPr>
          <w:b/>
          <w:bCs/>
          <w:sz w:val="36"/>
          <w:szCs w:val="36"/>
        </w:rPr>
        <w:t xml:space="preserve"> October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66777AEF" w:rsidR="00D74855" w:rsidRDefault="00E53F3C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Sixteenth Sunday after Trinity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480C38B0" w14:textId="6997F08A" w:rsidR="00F07368" w:rsidRPr="00776DE8" w:rsidRDefault="00F07368" w:rsidP="00F07368">
            <w:pPr>
              <w:rPr>
                <w:rFonts w:cstheme="minorHAnsi"/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9785179"/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17E794C7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5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2A434BCB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Eucharist with Carollyn</w:t>
            </w:r>
          </w:p>
          <w:p w14:paraId="72BF78BE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Deanery service here at St John’s</w:t>
            </w:r>
          </w:p>
          <w:p w14:paraId="36881499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8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1D8B09ED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7pm Bingo</w:t>
            </w:r>
          </w:p>
          <w:p w14:paraId="7A08827D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</w:p>
          <w:p w14:paraId="3382FADC" w14:textId="77777777" w:rsidR="00F07368" w:rsidRDefault="00F07368" w:rsidP="00F07368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2DE90BB" w14:textId="77777777" w:rsidR="00F07368" w:rsidRDefault="00F07368" w:rsidP="00F0736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Deanery Service here, today at 4pm</w:t>
            </w:r>
          </w:p>
          <w:p w14:paraId="6F63225C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monthly Alnwick Deanery service will be here this afternoon at 4pm. Please try to support this and welcome our friends from neighbouring parishes.</w:t>
            </w:r>
          </w:p>
          <w:p w14:paraId="492A07C0" w14:textId="77777777" w:rsidR="00F07368" w:rsidRDefault="00F07368" w:rsidP="00F073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will be serving tea/coffee and cake afterwards – offers to help serve will be appreciated!</w:t>
            </w:r>
          </w:p>
          <w:p w14:paraId="6C7832FB" w14:textId="77777777" w:rsidR="00F07368" w:rsidRPr="00D74855" w:rsidRDefault="00F07368" w:rsidP="00F07368">
            <w:pPr>
              <w:rPr>
                <w:rFonts w:cstheme="minorHAnsi"/>
                <w:sz w:val="24"/>
                <w:szCs w:val="24"/>
              </w:rPr>
            </w:pPr>
          </w:p>
          <w:p w14:paraId="5A48A60B" w14:textId="77777777" w:rsidR="00F07368" w:rsidRDefault="00F07368" w:rsidP="00F07368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D9D328F" w14:textId="3DABCE86" w:rsidR="00D74855" w:rsidRPr="00776DE8" w:rsidRDefault="00216282" w:rsidP="00D74855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="00D74855"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7ADAF467" w14:textId="58489ADF" w:rsidR="00D74855" w:rsidRDefault="00D74855" w:rsidP="00D74855">
            <w:pPr>
              <w:rPr>
                <w:sz w:val="24"/>
                <w:szCs w:val="24"/>
              </w:rPr>
            </w:pPr>
            <w:bookmarkStart w:id="4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 xml:space="preserve">in </w:t>
            </w:r>
            <w:bookmarkStart w:id="5" w:name="_Hlk200005429"/>
            <w:bookmarkStart w:id="6" w:name="_Hlk192948482"/>
            <w:bookmarkStart w:id="7" w:name="_Hlk177746620"/>
            <w:r w:rsidRPr="00C47DBD">
              <w:rPr>
                <w:sz w:val="24"/>
                <w:szCs w:val="24"/>
              </w:rPr>
              <w:t xml:space="preserve">live in </w:t>
            </w:r>
            <w:bookmarkEnd w:id="5"/>
            <w:bookmarkEnd w:id="6"/>
            <w:r w:rsidR="00E53F3C">
              <w:rPr>
                <w:sz w:val="24"/>
                <w:szCs w:val="24"/>
              </w:rPr>
              <w:t xml:space="preserve">St John’s Estate, Grey Arms Court and Station Road and the staff and customers of the </w:t>
            </w:r>
            <w:proofErr w:type="spellStart"/>
            <w:r w:rsidR="00E53F3C">
              <w:rPr>
                <w:sz w:val="24"/>
                <w:szCs w:val="24"/>
              </w:rPr>
              <w:t>Togston</w:t>
            </w:r>
            <w:proofErr w:type="spellEnd"/>
            <w:r w:rsidR="00E53F3C">
              <w:rPr>
                <w:sz w:val="24"/>
                <w:szCs w:val="24"/>
              </w:rPr>
              <w:t xml:space="preserve"> Club</w:t>
            </w:r>
          </w:p>
          <w:p w14:paraId="22D43EB1" w14:textId="77777777" w:rsidR="00D74855" w:rsidRPr="006E56C2" w:rsidRDefault="00D74855" w:rsidP="00D74855">
            <w:pPr>
              <w:rPr>
                <w:sz w:val="16"/>
                <w:szCs w:val="16"/>
              </w:rPr>
            </w:pPr>
          </w:p>
          <w:bookmarkEnd w:id="7"/>
          <w:p w14:paraId="3CDF133F" w14:textId="77777777" w:rsidR="00D74855" w:rsidRDefault="00D74855" w:rsidP="00D74855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E53F3C" w:rsidRPr="00B33E11" w14:paraId="2B172196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2204F35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C8B9001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Beswick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120317B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1985</w:t>
                  </w:r>
                </w:p>
              </w:tc>
            </w:tr>
            <w:tr w:rsidR="00E53F3C" w:rsidRPr="00B33E11" w14:paraId="46BD3D81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1705288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Bill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D1AF97B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Dargue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4EE1C7DD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1978</w:t>
                  </w:r>
                </w:p>
              </w:tc>
            </w:tr>
            <w:tr w:rsidR="00E53F3C" w:rsidRPr="00B33E11" w14:paraId="09BAE327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4ED5DFF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Jean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13BDB34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Douglas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0550C04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1977</w:t>
                  </w:r>
                </w:p>
              </w:tc>
            </w:tr>
            <w:tr w:rsidR="00E53F3C" w:rsidRPr="00B33E11" w14:paraId="2A85E7F1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1A90B2F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Grantley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D1EF6DF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Kear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7F198F7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2020</w:t>
                  </w:r>
                </w:p>
              </w:tc>
            </w:tr>
            <w:tr w:rsidR="00E53F3C" w:rsidRPr="00B33E11" w14:paraId="3119512D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E1FC278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Joseph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3745F18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270EBF8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E53F3C" w:rsidRPr="00B33E11" w14:paraId="0754DA5F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34BFB26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Ellen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4EEA571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Raffle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24DA236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1996</w:t>
                  </w:r>
                </w:p>
              </w:tc>
            </w:tr>
            <w:tr w:rsidR="00E53F3C" w:rsidRPr="00B33E11" w14:paraId="0291E6BA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D4A1F70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Ada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FA4FCFA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Shanks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789F53C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1999</w:t>
                  </w:r>
                </w:p>
              </w:tc>
            </w:tr>
            <w:tr w:rsidR="00E53F3C" w:rsidRPr="00B33E11" w14:paraId="7A4CB2A4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24D1EA6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Sidney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39D9F2C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Shanks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0F035CC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1996</w:t>
                  </w:r>
                </w:p>
              </w:tc>
            </w:tr>
            <w:tr w:rsidR="00E53F3C" w:rsidRPr="00B33E11" w14:paraId="06B2E9DC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B6E2E1E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Margaret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CEC2E81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Spowart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BC10394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??</w:t>
                  </w:r>
                </w:p>
              </w:tc>
            </w:tr>
            <w:tr w:rsidR="00E53F3C" w:rsidRPr="00B33E11" w14:paraId="18706478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8C24D07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Margaret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111D08B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Weddell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37A5DE1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E53F3C" w:rsidRPr="00B33E11" w14:paraId="2FEEDA3C" w14:textId="77777777" w:rsidTr="002079FC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ACB205E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Douglas James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DA588A5" w14:textId="77777777" w:rsidR="00E53F3C" w:rsidRDefault="00E53F3C" w:rsidP="00E53F3C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Woolcombe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6277FB41" w14:textId="77777777" w:rsidR="00E53F3C" w:rsidRDefault="00E53F3C" w:rsidP="00E53F3C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2008</w:t>
                  </w:r>
                </w:p>
              </w:tc>
            </w:tr>
            <w:bookmarkEnd w:id="0"/>
            <w:bookmarkEnd w:id="1"/>
            <w:bookmarkEnd w:id="2"/>
            <w:bookmarkEnd w:id="4"/>
          </w:tbl>
          <w:p w14:paraId="06BF164F" w14:textId="77777777" w:rsidR="00300856" w:rsidRDefault="00300856" w:rsidP="00E25170">
            <w:pPr>
              <w:rPr>
                <w:rFonts w:cstheme="minorHAnsi"/>
                <w:sz w:val="24"/>
                <w:szCs w:val="24"/>
              </w:rPr>
            </w:pPr>
          </w:p>
          <w:p w14:paraId="3C442771" w14:textId="77777777" w:rsidR="00DE70F9" w:rsidRDefault="00DE70F9" w:rsidP="00DE70F9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A4071D2" w14:textId="4E427F89" w:rsidR="00E53F3C" w:rsidRDefault="00544E32" w:rsidP="00E53F3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Children’s morning – October 29</w:t>
            </w:r>
            <w:r w:rsidRPr="00544E32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</w:p>
          <w:p w14:paraId="38A8638E" w14:textId="29983E0C" w:rsidR="00544E32" w:rsidRPr="00544E32" w:rsidRDefault="00544E32" w:rsidP="00E53F3C">
            <w:pPr>
              <w:rPr>
                <w:rFonts w:cstheme="minorHAnsi"/>
                <w:sz w:val="24"/>
                <w:szCs w:val="24"/>
              </w:rPr>
            </w:pPr>
            <w:r w:rsidRPr="00544E32">
              <w:rPr>
                <w:rFonts w:cstheme="minorHAnsi"/>
                <w:sz w:val="24"/>
                <w:szCs w:val="24"/>
              </w:rPr>
              <w:t>Cynthia and Sheila are planning another activity morning for children on the Wednesday of half term week.</w:t>
            </w:r>
          </w:p>
          <w:p w14:paraId="6B457E9D" w14:textId="51802CEB" w:rsidR="00544E32" w:rsidRDefault="00544E32" w:rsidP="00E53F3C">
            <w:pPr>
              <w:rPr>
                <w:rFonts w:cstheme="minorHAnsi"/>
                <w:sz w:val="24"/>
                <w:szCs w:val="24"/>
              </w:rPr>
            </w:pPr>
            <w:r w:rsidRPr="00544E32">
              <w:rPr>
                <w:rFonts w:cstheme="minorHAnsi"/>
                <w:sz w:val="24"/>
                <w:szCs w:val="24"/>
              </w:rPr>
              <w:t xml:space="preserve">The theme will be Saints and </w:t>
            </w:r>
            <w:r>
              <w:rPr>
                <w:rFonts w:cstheme="minorHAnsi"/>
                <w:sz w:val="24"/>
                <w:szCs w:val="24"/>
              </w:rPr>
              <w:t>Light.</w:t>
            </w:r>
          </w:p>
          <w:p w14:paraId="11F00E1E" w14:textId="6249A921" w:rsidR="00544E32" w:rsidRDefault="00544E32" w:rsidP="00E53F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any cereal boxes, egg cartons, cardboard tubes or empty jam jars we would be very grateful for them.</w:t>
            </w:r>
          </w:p>
          <w:p w14:paraId="3E64ECE1" w14:textId="4BC8CC87" w:rsidR="00544E32" w:rsidRPr="00544E32" w:rsidRDefault="00544E32" w:rsidP="00E53F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(If you want to know what we’re doing with those, you’ll have to come along and see!)</w:t>
            </w:r>
          </w:p>
          <w:bookmarkEnd w:id="3"/>
          <w:p w14:paraId="7819BE05" w14:textId="5F8CDBBB" w:rsidR="00F23526" w:rsidRPr="00D74855" w:rsidRDefault="00F23526" w:rsidP="00E53F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40F474E" w14:textId="77777777" w:rsidR="00544E32" w:rsidRDefault="00544E32" w:rsidP="00544E32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8" w:name="_Hlk205637938"/>
            <w:bookmarkStart w:id="9" w:name="_Hlk209785184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All Souls – Sunday November 2</w:t>
            </w:r>
            <w:r w:rsidRPr="00D7485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4pm</w:t>
            </w:r>
          </w:p>
          <w:p w14:paraId="092F7087" w14:textId="77777777" w:rsidR="00544E32" w:rsidRDefault="00544E32" w:rsidP="00544E32">
            <w:pPr>
              <w:rPr>
                <w:rFonts w:cstheme="minorHAnsi"/>
                <w:sz w:val="24"/>
                <w:szCs w:val="24"/>
              </w:rPr>
            </w:pPr>
            <w:r w:rsidRPr="00F23526">
              <w:rPr>
                <w:rFonts w:cstheme="minorHAnsi"/>
                <w:sz w:val="24"/>
                <w:szCs w:val="24"/>
              </w:rPr>
              <w:t xml:space="preserve">Our annual service to remember </w:t>
            </w:r>
            <w:r>
              <w:rPr>
                <w:rFonts w:cstheme="minorHAnsi"/>
                <w:sz w:val="24"/>
                <w:szCs w:val="24"/>
              </w:rPr>
              <w:t xml:space="preserve">those who have died </w:t>
            </w:r>
            <w:r w:rsidRPr="00F23526">
              <w:rPr>
                <w:rFonts w:cstheme="minorHAnsi"/>
                <w:sz w:val="24"/>
                <w:szCs w:val="24"/>
              </w:rPr>
              <w:t>will be at 4pm on 2</w:t>
            </w:r>
            <w:r w:rsidRPr="00F2352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3526">
              <w:rPr>
                <w:rFonts w:cstheme="minorHAnsi"/>
                <w:sz w:val="24"/>
                <w:szCs w:val="24"/>
              </w:rPr>
              <w:t xml:space="preserve"> November. There are lists of names at the back of church – please check them so we can make sure your loved ones are included.</w:t>
            </w:r>
          </w:p>
          <w:p w14:paraId="2E11985F" w14:textId="7BFCA1D0" w:rsidR="00544E32" w:rsidRDefault="00544E32" w:rsidP="00544E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are sending invitations to the families of everyone whose funeral has taken place here in the past 12 months but if you know of anyone who has lost </w:t>
            </w:r>
            <w:proofErr w:type="gramStart"/>
            <w:r>
              <w:rPr>
                <w:rFonts w:cstheme="minorHAnsi"/>
                <w:sz w:val="24"/>
                <w:szCs w:val="24"/>
              </w:rPr>
              <w:t>someone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please do extend an invitation to them too.</w:t>
            </w:r>
          </w:p>
          <w:p w14:paraId="17A8C111" w14:textId="77777777" w:rsidR="00544E32" w:rsidRDefault="00544E32" w:rsidP="00544E32">
            <w:pPr>
              <w:rPr>
                <w:rFonts w:cstheme="minorHAnsi"/>
                <w:sz w:val="24"/>
                <w:szCs w:val="24"/>
              </w:rPr>
            </w:pPr>
          </w:p>
          <w:p w14:paraId="4003742E" w14:textId="77777777" w:rsidR="00544E32" w:rsidRDefault="00544E32" w:rsidP="00544E32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8"/>
          </w:p>
          <w:p w14:paraId="09CD4B1A" w14:textId="77777777" w:rsidR="00E53F3C" w:rsidRDefault="00E53F3C" w:rsidP="00E53F3C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ED2EC92" w14:textId="77777777" w:rsidR="00E53F3C" w:rsidRDefault="00216282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And finally, something to make you smile …</w:t>
            </w:r>
          </w:p>
          <w:p w14:paraId="215B2957" w14:textId="481CA324" w:rsidR="00216282" w:rsidRPr="00216282" w:rsidRDefault="00216282" w:rsidP="00216282">
            <w:pPr>
              <w:rPr>
                <w:rFonts w:cstheme="minorHAnsi"/>
                <w:sz w:val="24"/>
                <w:szCs w:val="24"/>
              </w:rPr>
            </w:pPr>
          </w:p>
          <w:p w14:paraId="414DA335" w14:textId="77777777" w:rsidR="00216282" w:rsidRDefault="00216282" w:rsidP="00216282">
            <w:pPr>
              <w:rPr>
                <w:rFonts w:cstheme="minorHAnsi"/>
                <w:sz w:val="24"/>
                <w:szCs w:val="24"/>
              </w:rPr>
            </w:pPr>
            <w:r w:rsidRPr="00216282">
              <w:rPr>
                <w:rFonts w:cstheme="minorHAnsi"/>
                <w:sz w:val="24"/>
                <w:szCs w:val="24"/>
              </w:rPr>
              <w:t>Three little boys were bragging about how tough they were. “I’m so tough,” said the first boy, “that I can wear out a pair of shoes in a week.”</w:t>
            </w:r>
          </w:p>
          <w:p w14:paraId="512899E9" w14:textId="77777777" w:rsidR="00216282" w:rsidRPr="00216282" w:rsidRDefault="00216282" w:rsidP="00216282">
            <w:pPr>
              <w:rPr>
                <w:rFonts w:cstheme="minorHAnsi"/>
                <w:sz w:val="24"/>
                <w:szCs w:val="24"/>
              </w:rPr>
            </w:pPr>
          </w:p>
          <w:p w14:paraId="5A7AEF5C" w14:textId="77777777" w:rsidR="00216282" w:rsidRDefault="00216282" w:rsidP="00216282">
            <w:pPr>
              <w:rPr>
                <w:rFonts w:cstheme="minorHAnsi"/>
                <w:sz w:val="24"/>
                <w:szCs w:val="24"/>
              </w:rPr>
            </w:pPr>
            <w:r w:rsidRPr="00216282">
              <w:rPr>
                <w:rFonts w:cstheme="minorHAnsi"/>
                <w:sz w:val="24"/>
                <w:szCs w:val="24"/>
              </w:rPr>
              <w:t>“Well,” said the second little boy, “I’m so tough, I can wear out a pair of jeans in a day.”</w:t>
            </w:r>
          </w:p>
          <w:p w14:paraId="0653247C" w14:textId="77777777" w:rsidR="00216282" w:rsidRPr="00216282" w:rsidRDefault="00216282" w:rsidP="00216282">
            <w:pPr>
              <w:rPr>
                <w:rFonts w:cstheme="minorHAnsi"/>
                <w:sz w:val="24"/>
                <w:szCs w:val="24"/>
              </w:rPr>
            </w:pPr>
          </w:p>
          <w:p w14:paraId="393D84B9" w14:textId="77777777" w:rsidR="00216282" w:rsidRPr="00216282" w:rsidRDefault="00216282" w:rsidP="00216282">
            <w:pPr>
              <w:rPr>
                <w:rFonts w:cstheme="minorHAnsi"/>
                <w:sz w:val="24"/>
                <w:szCs w:val="24"/>
              </w:rPr>
            </w:pPr>
            <w:r w:rsidRPr="00216282">
              <w:rPr>
                <w:rFonts w:cstheme="minorHAnsi"/>
                <w:sz w:val="24"/>
                <w:szCs w:val="24"/>
              </w:rPr>
              <w:t>“That’s nothing,” said the third boy. “When my parents take me to see my grandma and grandpa, I can wear them out in just one hour.”</w:t>
            </w:r>
          </w:p>
          <w:bookmarkEnd w:id="9"/>
          <w:p w14:paraId="07D20D89" w14:textId="344F8D79" w:rsidR="00216282" w:rsidRPr="00216282" w:rsidRDefault="00216282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7572"/>
    <w:rsid w:val="00175B42"/>
    <w:rsid w:val="001819B5"/>
    <w:rsid w:val="001825DB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56D1"/>
    <w:rsid w:val="00246336"/>
    <w:rsid w:val="0025403A"/>
    <w:rsid w:val="0026025B"/>
    <w:rsid w:val="00262BEA"/>
    <w:rsid w:val="0027033E"/>
    <w:rsid w:val="0027110D"/>
    <w:rsid w:val="002716D6"/>
    <w:rsid w:val="00282552"/>
    <w:rsid w:val="00283F72"/>
    <w:rsid w:val="00293C17"/>
    <w:rsid w:val="002A1B47"/>
    <w:rsid w:val="002A1F15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4657"/>
    <w:rsid w:val="004971CF"/>
    <w:rsid w:val="004A4DEE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66D8"/>
    <w:rsid w:val="00A97CE9"/>
    <w:rsid w:val="00AA096C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4814"/>
    <w:rsid w:val="00BB55A1"/>
    <w:rsid w:val="00BB561F"/>
    <w:rsid w:val="00BB7C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6</cp:revision>
  <cp:lastPrinted>2025-09-26T12:31:00Z</cp:lastPrinted>
  <dcterms:created xsi:type="dcterms:W3CDTF">2025-09-25T18:41:00Z</dcterms:created>
  <dcterms:modified xsi:type="dcterms:W3CDTF">2025-09-26T12:31:00Z</dcterms:modified>
</cp:coreProperties>
</file>