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jc w:val="center"/>
        <w:rPr>
          <w:rFonts w:ascii="Rockwell" w:hAnsi="Rockwell" w:cs="DilleniaUPC"/>
          <w:b w:val="1"/>
          <w:sz w:val="24"/>
          <w:szCs w:val="24"/>
        </w:rPr>
      </w:pPr>
    </w:p>
    <w:p>
      <w:pPr>
        <w:spacing w:lineRule="auto" w:line="240" w:before="0" w:after="0" w:beforeAutospacing="0" w:afterAutospacing="0"/>
        <w:jc w:val="center"/>
        <w:rPr>
          <w:sz w:val="56"/>
          <w:szCs w:val="56"/>
        </w:rPr>
      </w:pPr>
      <w:r>
        <w:rPr>
          <w:rFonts w:ascii="Rockwell" w:hAnsi="Rockwell" w:cs="DilleniaUPC"/>
          <w:b w:val="1"/>
          <w:sz w:val="56"/>
          <w:szCs w:val="56"/>
        </w:rPr>
        <w:t>SECOND HAND AND NEARLY NEW</w:t>
      </w:r>
    </w:p>
    <w:p>
      <w:pPr>
        <w:spacing w:lineRule="auto" w:line="240" w:before="0" w:after="0" w:beforeAutospacing="0" w:afterAutospacing="0"/>
        <w:jc w:val="center"/>
        <w:rPr>
          <w:sz w:val="56"/>
          <w:szCs w:val="56"/>
        </w:rPr>
      </w:pPr>
      <w:r>
        <w:rPr>
          <w:rFonts w:ascii="Rockwell" w:hAnsi="Rockwell" w:cs="DilleniaUPC"/>
          <w:b w:val="1"/>
          <w:sz w:val="56"/>
          <w:szCs w:val="56"/>
        </w:rPr>
        <w:t>BOOK FAYRE</w:t>
      </w:r>
    </w:p>
    <w:p>
      <w:pPr>
        <w:spacing w:lineRule="auto" w:line="240" w:before="0" w:after="0" w:beforeAutospacing="0" w:afterAutospacing="0"/>
        <w:jc w:val="center"/>
        <w:rPr>
          <w:rFonts w:ascii="Rockwell" w:hAnsi="Rockwell" w:cs="DilleniaUPC"/>
          <w:b w:val="1"/>
          <w:sz w:val="44"/>
          <w:szCs w:val="44"/>
        </w:rPr>
      </w:pPr>
      <w:r>
        <w:drawing>
          <wp:inline xmlns:wp="http://schemas.openxmlformats.org/drawingml/2006/wordprocessingDrawing" distT="0" distB="0" distL="0" distR="0">
            <wp:extent cx="3912870" cy="4122420"/>
            <wp:effectExtent l="0" t="0" r="0" b="0"/>
            <wp:docPr id="1" name="Image1" descr="Image result for image books">
              <a:hlinkClick xmlns:a="http://schemas.openxmlformats.org/drawingml/2006/main" r:id="R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Image result for image books">
                      <a:hlinkClick r:id="R3"/>
                    </pic:cNvPr>
                    <pic:cNvPicPr>
                      <a:picLocks noChangeAspect="1" noChangeArrowheads="1"/>
                    </pic:cNvPicPr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41224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120" w:beforeAutospacing="0" w:afterAutospacing="0"/>
        <w:jc w:val="center"/>
        <w:rPr>
          <w:rFonts w:ascii="Rockwell" w:hAnsi="Rockwell" w:cs="DilleniaUPC"/>
          <w:b w:val="1"/>
          <w:bCs w:val="1"/>
          <w:sz w:val="44"/>
          <w:szCs w:val="44"/>
        </w:rPr>
      </w:pPr>
      <w:r>
        <w:rPr>
          <w:rFonts w:ascii="Rockwell" w:hAnsi="Rockwell" w:cs="DilleniaUPC"/>
          <w:b w:val="1"/>
          <w:bCs w:val="1"/>
          <w:sz w:val="44"/>
          <w:szCs w:val="44"/>
        </w:rPr>
        <w:t xml:space="preserve">Saturday </w:t>
      </w:r>
      <w:r>
        <w:rPr>
          <w:rFonts w:ascii="Rockwell" w:hAnsi="Rockwell" w:cs="DilleniaUPC"/>
          <w:b w:val="1"/>
          <w:bCs w:val="1"/>
          <w:sz w:val="44"/>
          <w:szCs w:val="44"/>
          <w:rtl w:val="0"/>
          <w:lang w:val="en-GB" w:bidi="en-GB" w:eastAsia="en-GB"/>
        </w:rPr>
        <w:t>2</w:t>
      </w:r>
      <w:r>
        <w:rPr>
          <w:rFonts w:ascii="Rockwell" w:hAnsi="Rockwell" w:cs="DilleniaUPC"/>
          <w:b w:val="1"/>
          <w:bCs w:val="1"/>
          <w:sz w:val="44"/>
          <w:szCs w:val="44"/>
          <w:vertAlign w:val="superscript"/>
          <w:rtl w:val="0"/>
          <w:lang w:val="en-GB" w:bidi="en-GB" w:eastAsia="en-GB"/>
        </w:rPr>
        <w:t>n</w:t>
      </w:r>
      <w:r>
        <w:rPr>
          <w:rFonts w:ascii="Rockwell" w:hAnsi="Rockwell" w:cs="DilleniaUPC"/>
          <w:b w:val="1"/>
          <w:bCs w:val="1"/>
          <w:sz w:val="44"/>
          <w:szCs w:val="44"/>
          <w:vertAlign w:val="superscript"/>
          <w:rtl w:val="0"/>
          <w:lang w:val="en-GB" w:bidi="en-GB" w:eastAsia="en-GB"/>
        </w:rPr>
        <w:t>d</w:t>
      </w:r>
      <w:r>
        <w:rPr>
          <w:rFonts w:ascii="Rockwell" w:hAnsi="Rockwell" w:cs="DilleniaUPC"/>
          <w:b w:val="1"/>
          <w:bCs w:val="1"/>
          <w:sz w:val="44"/>
          <w:szCs w:val="44"/>
        </w:rPr>
        <w:t xml:space="preserve"> </w:t>
      </w:r>
      <w:r>
        <w:rPr>
          <w:rFonts w:ascii="Rockwell" w:hAnsi="Rockwell" w:cs="DilleniaUPC" w:eastAsiaTheme="minorHAnsi"/>
          <w:b w:val="1"/>
          <w:bCs w:val="1"/>
          <w:color w:val="auto"/>
          <w:sz w:val="44"/>
          <w:szCs w:val="44"/>
          <w:lang w:val="en-GB" w:bidi="ar-SA" w:eastAsia="en-US"/>
        </w:rPr>
        <w:t>May</w:t>
      </w:r>
      <w:r>
        <w:rPr>
          <w:rFonts w:ascii="Rockwell" w:hAnsi="Rockwell" w:cs="DilleniaUPC"/>
          <w:b w:val="1"/>
          <w:bCs w:val="1"/>
          <w:sz w:val="44"/>
          <w:szCs w:val="44"/>
        </w:rPr>
        <w:t>….10.00am – 4.00pm</w:t>
      </w:r>
    </w:p>
    <w:p>
      <w:pPr>
        <w:spacing w:before="0" w:after="120" w:beforeAutospacing="0" w:afterAutospacing="0"/>
        <w:jc w:val="center"/>
        <w:rPr>
          <w:rFonts w:ascii="Rockwell" w:hAnsi="Rockwell" w:cs="DilleniaUPC"/>
          <w:b w:val="1"/>
          <w:bCs w:val="1"/>
          <w:sz w:val="44"/>
          <w:szCs w:val="44"/>
        </w:rPr>
      </w:pPr>
      <w:r>
        <w:rPr>
          <w:rFonts w:ascii="Rockwell" w:hAnsi="Rockwell" w:cs="DilleniaUPC"/>
          <w:b w:val="1"/>
          <w:bCs w:val="1"/>
          <w:sz w:val="44"/>
          <w:szCs w:val="44"/>
        </w:rPr>
        <w:t xml:space="preserve">Monday </w:t>
      </w:r>
      <w:r>
        <w:rPr>
          <w:rFonts w:ascii="Rockwell" w:hAnsi="Rockwell" w:cs="DilleniaUPC"/>
          <w:b w:val="1"/>
          <w:bCs w:val="1"/>
          <w:sz w:val="44"/>
          <w:szCs w:val="44"/>
          <w:rtl w:val="0"/>
          <w:lang w:val="en-GB" w:bidi="en-GB" w:eastAsia="en-GB"/>
        </w:rPr>
        <w:t>4</w:t>
      </w:r>
      <w:r>
        <w:rPr>
          <w:rFonts w:ascii="Rockwell" w:hAnsi="Rockwell" w:cs="DilleniaUPC"/>
          <w:b w:val="1"/>
          <w:bCs w:val="1"/>
          <w:sz w:val="44"/>
          <w:szCs w:val="44"/>
          <w:vertAlign w:val="superscript"/>
        </w:rPr>
        <w:t>th</w:t>
      </w:r>
      <w:r>
        <w:rPr>
          <w:rFonts w:ascii="Rockwell" w:hAnsi="Rockwell" w:cs="DilleniaUPC"/>
          <w:b w:val="1"/>
          <w:bCs w:val="1"/>
          <w:sz w:val="44"/>
          <w:szCs w:val="44"/>
        </w:rPr>
        <w:t xml:space="preserve"> May…. 10.30am – 4.30pm</w:t>
      </w:r>
    </w:p>
    <w:p>
      <w:pPr>
        <w:spacing w:before="0" w:after="120" w:beforeAutospacing="0" w:afterAutospacing="0"/>
        <w:jc w:val="center"/>
        <w:rPr>
          <w:rFonts w:ascii="Rockwell" w:hAnsi="Rockwell" w:cs="DilleniaUPC"/>
          <w:b w:val="1"/>
          <w:bCs w:val="1"/>
          <w:sz w:val="44"/>
          <w:szCs w:val="44"/>
        </w:rPr>
      </w:pPr>
      <w:r>
        <w:rPr>
          <w:rFonts w:ascii="Rockwell" w:hAnsi="Rockwell" w:cs="DilleniaUPC" w:eastAsiaTheme="minorHAnsi"/>
          <w:b w:val="1"/>
          <w:bCs w:val="1"/>
          <w:color w:val="auto"/>
          <w:sz w:val="44"/>
          <w:szCs w:val="44"/>
          <w:lang w:val="en-GB" w:bidi="ar-SA" w:eastAsia="en-US"/>
        </w:rPr>
        <w:t>Closed</w:t>
      </w:r>
      <w:r>
        <w:rPr>
          <w:rFonts w:ascii="Rockwell" w:hAnsi="Rockwell" w:cs="DilleniaUPC"/>
          <w:b w:val="1"/>
          <w:bCs w:val="1"/>
          <w:sz w:val="44"/>
          <w:szCs w:val="44"/>
        </w:rPr>
        <w:t xml:space="preserve"> Sunday </w:t>
      </w:r>
      <w:r>
        <w:rPr>
          <w:rFonts w:ascii="Rockwell" w:hAnsi="Rockwell" w:cs="DilleniaUPC"/>
          <w:b w:val="1"/>
          <w:bCs w:val="1"/>
          <w:sz w:val="44"/>
          <w:szCs w:val="44"/>
          <w:rtl w:val="0"/>
          <w:lang w:val="en-GB" w:bidi="en-GB" w:eastAsia="en-GB"/>
        </w:rPr>
        <w:t>3</w:t>
      </w:r>
      <w:r>
        <w:rPr>
          <w:rFonts w:ascii="Rockwell" w:hAnsi="Rockwell" w:cs="DilleniaUPC"/>
          <w:b w:val="1"/>
          <w:bCs w:val="1"/>
          <w:sz w:val="44"/>
          <w:szCs w:val="44"/>
          <w:vertAlign w:val="superscript"/>
          <w:rtl w:val="0"/>
          <w:lang w:val="en-GB" w:bidi="en-GB" w:eastAsia="en-GB"/>
        </w:rPr>
        <w:t>r</w:t>
      </w:r>
      <w:r>
        <w:rPr>
          <w:rFonts w:ascii="Rockwell" w:hAnsi="Rockwell" w:cs="DilleniaUPC"/>
          <w:b w:val="1"/>
          <w:bCs w:val="1"/>
          <w:sz w:val="44"/>
          <w:szCs w:val="44"/>
          <w:vertAlign w:val="superscript"/>
          <w:rtl w:val="0"/>
          <w:lang w:val="en-GB" w:bidi="en-GB" w:eastAsia="en-GB"/>
        </w:rPr>
        <w:t>d</w:t>
      </w:r>
      <w:r>
        <w:rPr>
          <w:rFonts w:ascii="Rockwell" w:hAnsi="Rockwell" w:cs="DilleniaUPC"/>
          <w:b w:val="1"/>
          <w:bCs w:val="1"/>
          <w:sz w:val="44"/>
          <w:szCs w:val="44"/>
        </w:rPr>
        <w:t xml:space="preserve"> May</w:t>
      </w:r>
    </w:p>
    <w:p>
      <w:pPr>
        <w:jc w:val="center"/>
        <w:rPr>
          <w:rFonts w:ascii="Rockwell" w:hAnsi="Rockwell" w:cs="DilleniaUPC"/>
          <w:sz w:val="28"/>
          <w:szCs w:val="28"/>
        </w:rPr>
      </w:pPr>
      <w:r>
        <w:rPr>
          <w:rFonts w:ascii="Rockwell" w:hAnsi="Rockwell" w:cs="DilleniaUPC"/>
          <w:sz w:val="28"/>
          <w:szCs w:val="28"/>
        </w:rPr>
        <w:t>To be held in</w:t>
      </w:r>
    </w:p>
    <w:p>
      <w:pPr>
        <w:spacing w:lineRule="auto" w:line="240" w:before="0" w:after="0" w:beforeAutospacing="0" w:afterAutospacing="0"/>
        <w:jc w:val="center"/>
      </w:pPr>
      <w:r>
        <w:rPr>
          <w:rFonts w:ascii="Rockwell" w:hAnsi="Rockwell" w:cs="DilleniaUPC"/>
          <w:b w:val="1"/>
          <w:bCs w:val="1"/>
          <w:sz w:val="48"/>
          <w:szCs w:val="48"/>
        </w:rPr>
        <w:t>Royston Parish Church</w:t>
      </w:r>
    </w:p>
    <w:p>
      <w:pPr>
        <w:spacing w:lineRule="auto" w:line="240" w:before="0" w:after="100" w:beforeAutospacing="0" w:afterAutospacing="0"/>
        <w:jc w:val="left"/>
      </w:pPr>
      <w:r>
        <w:drawing>
          <wp:anchor xmlns:wp="http://schemas.openxmlformats.org/drawingml/2006/wordprocessingDrawing" distT="0" distB="0" distL="0" distR="0" simplePos="0" relativeHeight="1" behindDoc="0" locked="0" layoutInCell="0" allowOverlap="1">
            <wp:simplePos x="0" y="0"/>
            <wp:positionH relativeFrom="column">
              <wp:posOffset>126365</wp:posOffset>
            </wp:positionH>
            <wp:positionV relativeFrom="paragraph">
              <wp:posOffset>52705</wp:posOffset>
            </wp:positionV>
            <wp:extent cx="1134745" cy="1099820"/>
            <wp:effectExtent l="0" t="0" r="0" b="0"/>
            <wp:wrapSquare wrapText="largest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0998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Rockwell" w:hAnsi="Rockwell" w:cs="DilleniaUPC" w:eastAsiaTheme="minorHAnsi"/>
          <w:color w:val="auto"/>
          <w:sz w:val="32"/>
          <w:szCs w:val="32"/>
          <w:lang w:val="en-GB" w:bidi="ar-SA" w:eastAsia="en-US"/>
        </w:rPr>
        <w:tab/>
        <w:tab/>
        <w:t>Refreshment</w:t>
      </w:r>
      <w:r>
        <w:rPr>
          <w:rFonts w:ascii="Rockwell" w:hAnsi="Rockwell" w:cs="DilleniaUPC"/>
          <w:sz w:val="32"/>
          <w:szCs w:val="32"/>
        </w:rPr>
        <w:t xml:space="preserve"> available          </w:t>
      </w:r>
    </w:p>
    <w:p>
      <w:pPr>
        <w:spacing w:lineRule="auto" w:line="240" w:before="0" w:after="100" w:beforeAutospacing="0" w:afterAutospacing="0"/>
        <w:jc w:val="left"/>
      </w:pPr>
      <w:r>
        <w:rPr>
          <w:rFonts w:ascii="Rockwell" w:hAnsi="Rockwell" w:cs="DilleniaUPC" w:eastAsiaTheme="minorHAnsi"/>
          <w:b w:val="0"/>
          <w:bCs w:val="0"/>
          <w:color w:val="auto"/>
          <w:sz w:val="32"/>
          <w:szCs w:val="32"/>
          <w:lang w:val="en-GB" w:bidi="ar-SA" w:eastAsia="en-US"/>
        </w:rPr>
        <w:tab/>
        <w:t>All proceeds in aid of church funds</w:t>
      </w:r>
    </w:p>
    <w:p>
      <w:pPr>
        <w:spacing w:before="0" w:after="120" w:beforeAutospacing="0" w:afterAutospacing="0"/>
        <w:jc w:val="center"/>
        <w:rPr>
          <w:rFonts w:ascii="Rockwell" w:hAnsi="Rockwell" w:cs="DilleniaUPC" w:eastAsiaTheme="minorHAnsi"/>
          <w:b w:val="1"/>
          <w:bCs w:val="1"/>
          <w:color w:val="auto"/>
          <w:lang w:val="en-GB" w:bidi="ar-SA" w:eastAsia="en-US"/>
        </w:rPr>
      </w:pPr>
      <w:r>
        <w:t xml:space="preserve">                                                                                                                                                           </w:t>
      </w:r>
    </w:p>
    <w:sectPr>
      <w:type w:val="nextPage"/>
      <w:pgSz w:w="11906" w:h="16838" w:code="0"/>
      <w:pgMar w:left="1440" w:right="1440" w:top="1440" w:bottom="1440" w:header="0" w:footer="0" w:gutter="0"/>
      <w:pgNumType w:chapSep="period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1"/>
  <w:evenAndOddHeaders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GB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bidi w:val="0"/>
      <w:jc w:val="left"/>
    </w:pPr>
    <w:rPr>
      <w:rFonts w:asciiTheme="minorHAnsi" w:hAnsiTheme="minorHAnsi" w:cstheme="minorBidi" w:eastAsiaTheme="minorHAnsi"/>
      <w:color w:val="auto"/>
      <w:sz w:val="22"/>
      <w:szCs w:val="22"/>
      <w:lang w:val="en-GB" w:bidi="ar-SA" w:eastAsia="en-US"/>
    </w:rPr>
  </w:style>
  <w:style w:type="paragraph" w:styleId="P1">
    <w:name w:val="Heading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 w:cs="Arial" w:eastAsia="Microsoft YaHei"/>
      <w:sz w:val="28"/>
      <w:szCs w:val="28"/>
    </w:rPr>
  </w:style>
  <w:style w:type="paragraph" w:styleId="P2">
    <w:name w:val="Body Text"/>
    <w:basedOn w:val="P0"/>
    <w:pPr>
      <w:spacing w:lineRule="auto" w:line="276" w:before="0" w:after="140" w:beforeAutospacing="0" w:afterAutospacing="0"/>
    </w:pPr>
    <w:rPr/>
  </w:style>
  <w:style w:type="paragraph" w:styleId="P3">
    <w:name w:val="List"/>
    <w:basedOn w:val="P2"/>
    <w:pPr/>
    <w:rPr>
      <w:rFonts w:cs="Arial"/>
    </w:rPr>
  </w:style>
  <w:style w:type="paragraph" w:styleId="P4">
    <w:name w:val="Caption"/>
    <w:basedOn w:val="P0"/>
    <w:qFormat/>
    <w:pPr>
      <w:suppressLineNumbers w:val="1"/>
      <w:spacing w:before="120" w:after="120" w:beforeAutospacing="0" w:afterAutospacing="0"/>
    </w:pPr>
    <w:rPr>
      <w:rFonts w:cs="Arial"/>
      <w:i w:val="1"/>
      <w:iCs w:val="1"/>
      <w:sz w:val="24"/>
      <w:szCs w:val="24"/>
    </w:rPr>
  </w:style>
  <w:style w:type="paragraph" w:styleId="P5">
    <w:name w:val="Index"/>
    <w:basedOn w:val="P0"/>
    <w:qFormat/>
    <w:pPr>
      <w:suppressLineNumbers w:val="1"/>
    </w:pPr>
    <w:rPr>
      <w:rFonts w:cs="Arial"/>
    </w:rPr>
  </w:style>
  <w:style w:type="paragraph" w:styleId="P6">
    <w:name w:val="Header and Footer"/>
    <w:basedOn w:val="P0"/>
    <w:qFormat/>
    <w:pPr/>
    <w:rPr/>
  </w:style>
  <w:style w:type="paragraph" w:styleId="P7">
    <w:name w:val="Header"/>
    <w:basedOn w:val="P0"/>
    <w:link w:val="C3"/>
    <w:pPr>
      <w:tabs>
        <w:tab w:val="clear" w:pos="720" w:leader="none"/>
        <w:tab w:val="center" w:pos="4513" w:leader="none"/>
        <w:tab w:val="right" w:pos="9026" w:leader="none"/>
      </w:tabs>
      <w:spacing w:lineRule="auto" w:line="240" w:before="0" w:after="0" w:beforeAutospacing="0" w:afterAutospacing="0"/>
    </w:pPr>
    <w:rPr/>
  </w:style>
  <w:style w:type="paragraph" w:styleId="P8">
    <w:name w:val="Footer"/>
    <w:basedOn w:val="P0"/>
    <w:link w:val="C4"/>
    <w:pPr>
      <w:tabs>
        <w:tab w:val="clear" w:pos="720" w:leader="none"/>
        <w:tab w:val="center" w:pos="4513" w:leader="none"/>
        <w:tab w:val="right" w:pos="9026" w:leader="none"/>
      </w:tabs>
      <w:spacing w:lineRule="auto" w:line="240" w:before="0" w:after="0" w:beforeAutospacing="0" w:afterAutospacing="0"/>
    </w:pPr>
    <w:rPr/>
  </w:style>
  <w:style w:type="paragraph" w:styleId="P9">
    <w:name w:val="Balloon Text"/>
    <w:basedOn w:val="P0"/>
    <w:link w:val="C5"/>
    <w:semiHidden/>
    <w:qFormat/>
    <w:pPr>
      <w:spacing w:lineRule="auto" w:line="240" w:before="0" w:after="0" w:beforeAutospacing="0" w:afterAutospacing="0"/>
    </w:pPr>
    <w:rPr>
      <w:rFonts w:ascii="Segoe UI" w:hAnsi="Segoe UI" w:cs="Segoe UI"/>
      <w:sz w:val="18"/>
      <w:szCs w:val="18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Header Char"/>
    <w:basedOn w:val="C0"/>
    <w:link w:val="P7"/>
    <w:qFormat/>
    <w:rPr/>
  </w:style>
  <w:style w:type="character" w:styleId="C4">
    <w:name w:val="Footer Char"/>
    <w:basedOn w:val="C0"/>
    <w:link w:val="P8"/>
    <w:qFormat/>
    <w:rPr/>
  </w:style>
  <w:style w:type="character" w:styleId="C5">
    <w:name w:val="Balloon Text Char"/>
    <w:basedOn w:val="C0"/>
    <w:link w:val="P9"/>
    <w:semiHidden/>
    <w:qFormat/>
    <w:rPr>
      <w:rFonts w:ascii="Segoe UI" w:hAnsi="Segoe UI" w:cs="Segoe UI"/>
      <w:sz w:val="18"/>
      <w:szCs w:val="18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emf" /><Relationship Id="R2" Type="http://schemas.openxmlformats.org/officeDocument/2006/relationships/hyperlink" Target="https://www.google.co.uk/url?sa=i&amp;rct=j&amp;q=&amp;esrc=s&amp;source=images&amp;cd=&amp;cad=rja&amp;uact=8&amp;ved=0ahUKEwifwLjCoODSAhXD0RQKHeVFDjgQjRwIBw&amp;url=https://www.asme.org/shop/books/book-proposals&amp;psig=AFQjCNGnbDZBrfomeJpa9OJYwHUOEvkeNw&amp;ust=1489933381281255" TargetMode="External" /><Relationship Id="R3" Type="http://schemas.openxmlformats.org/officeDocument/2006/relationships/hyperlink" Target="https://www.google.co.uk/url?sa=i&amp;rct=j&amp;q=&amp;esrc=s&amp;source=images&amp;cd=&amp;cad=rja&amp;uact=8&amp;ved=0ahUKEwifwLjCoODSAhXD0RQKHeVFDjgQjRwIBw&amp;url=https://www.asme.org/shop/books/book-proposals&amp;psig=AFQjCNGnbDZBrfomeJpa9OJYwHUOEvkeNw&amp;ust=1489933381281255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API/25.1.3.0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Ruth Savage</dc:creator>
  <dcterms:created xsi:type="dcterms:W3CDTF">2017-03-18T14:10:00Z</dcterms:created>
  <dc:language>en-GB</dc:language>
  <cp:lastModifiedBy>Ruth Savage</cp:lastModifiedBy>
  <cp:lastPrinted>2024-03-03T08:38:20Z</cp:lastPrinted>
  <dcterms:modified xsi:type="dcterms:W3CDTF">2026-01-24T11:05:52Z</dcterms:modified>
  <cp:revision>20</cp:revision>
</cp:coreProperties>
</file>